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240"/>
      </w:pPr>
      <w:r>
        <w:rPr>
          <w:b/>
          <w:bCs/>
          <w:color w:val="7C3AED"/>
          <w:spacing w:val="4"/>
          <w:sz w:val="18"/>
          <w:szCs w:val="18"/>
        </w:rPr>
        <w:t xml:space="preserve">IRB APPLICATION PACKET (SAMPLE)</w:t>
      </w:r>
    </w:p>
    <w:p>
      <w:pPr>
        <w:spacing w:after="180"/>
      </w:pPr>
      <w:r>
        <w:rPr>
          <w:b/>
          <w:bCs/>
          <w:color w:val="0F172A"/>
          <w:sz w:val="36"/>
          <w:szCs w:val="36"/>
        </w:rPr>
        <w:t xml:space="preserve">Home-use fNIRS Neurofeedback in Adolescent ADHD: A Multi-Clinic Naturalistic Registry</w:t>
      </w:r>
    </w:p>
    <w:p>
      <w:pPr>
        <w:spacing w:after="360"/>
      </w:pPr>
      <w:r>
        <w:rPr>
          <w:color w:val="64748B"/>
        </w:rPr>
        <w:t xml:space="preserve">Sponsor: </w:t>
      </w:r>
      <w:r>
        <w:rPr>
          <w:b/>
          <w:bCs/>
        </w:rPr>
        <w:t xml:space="preserve">EEGBase, Inc.  </w:t>
      </w:r>
      <w:r>
        <w:rPr>
          <w:color w:val="64748B"/>
        </w:rPr>
        <w:t xml:space="preserve">Co-sponsor: </w:t>
      </w:r>
      <w:r>
        <w:rPr>
          <w:b/>
          <w:bCs/>
        </w:rPr>
        <w:t xml:space="preserve">Mendi (proposed)  </w:t>
      </w:r>
      <w:r>
        <w:rPr>
          <w:color w:val="64748B"/>
        </w:rPr>
        <w:t xml:space="preserve">Version: </w:t>
      </w:r>
      <w:r>
        <w:rPr>
          <w:b/>
          <w:bCs/>
        </w:rPr>
        <w:t xml:space="preserve">v0.4 · sample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24"/>
        <w:gridCol w:w="7056"/>
      </w:tblGrid>
      <w:tr>
        <w:tc>
          <w:tcPr>
            <w:tcW w:type="dxa" w:w="3024"/>
            <w:tcBorders>
              <w:top w:val="single" w:color="CBD5E1" w:sz="4"/>
              <w:left w:val="single" w:color="CBD5E1" w:sz="4"/>
              <w:bottom w:val="single" w:color="CBD5E1" w:sz="4"/>
              <w:right w:val="single" w:color="CBD5E1" w:sz="4"/>
            </w:tcBorders>
            <w:shd w:fill="F1F5F9" w:val="clear"/>
            <w:tcMar>
              <w:top w:type="dxa" w:w="100"/>
              <w:left w:type="dxa" w:w="140"/>
              <w:bottom w:type="dxa" w:w="100"/>
              <w:right w:type="dxa" w:w="140"/>
            </w:tcMar>
          </w:tcPr>
          <w:p>
            <w:r>
              <w:rPr>
                <w:b/>
                <w:bCs/>
                <w:sz w:val="20"/>
                <w:szCs w:val="20"/>
              </w:rPr>
              <w:t xml:space="preserve">Study title</w:t>
            </w:r>
          </w:p>
        </w:tc>
        <w:tc>
          <w:tcPr>
            <w:tcW w:type="dxa" w:w="7056"/>
            <w:tcBorders>
              <w:top w:val="single" w:color="CBD5E1" w:sz="4"/>
              <w:left w:val="single" w:color="CBD5E1" w:sz="4"/>
              <w:bottom w:val="single" w:color="CBD5E1" w:sz="4"/>
              <w:right w:val="single" w:color="CBD5E1" w:sz="4"/>
            </w:tcBorders>
            <w:tcMar>
              <w:top w:type="dxa" w:w="100"/>
              <w:left w:type="dxa" w:w="140"/>
              <w:bottom w:type="dxa" w:w="100"/>
              <w:right w:type="dxa" w:w="140"/>
            </w:tcMar>
          </w:tcPr>
          <w:p>
            <w:r>
              <w:rPr>
                <w:sz w:val="20"/>
                <w:szCs w:val="20"/>
              </w:rPr>
              <w:t xml:space="preserve">Home-use fNIRS Neurofeedback in Adolescent ADHD: A 412-clinic Naturalistic Registry</w:t>
            </w:r>
          </w:p>
        </w:tc>
      </w:tr>
      <w:tr>
        <w:tc>
          <w:tcPr>
            <w:tcW w:type="dxa" w:w="3024"/>
            <w:tcBorders>
              <w:top w:val="single" w:color="CBD5E1" w:sz="4"/>
              <w:left w:val="single" w:color="CBD5E1" w:sz="4"/>
              <w:bottom w:val="single" w:color="CBD5E1" w:sz="4"/>
              <w:right w:val="single" w:color="CBD5E1" w:sz="4"/>
            </w:tcBorders>
            <w:shd w:fill="F1F5F9" w:val="clear"/>
            <w:tcMar>
              <w:top w:type="dxa" w:w="100"/>
              <w:left w:type="dxa" w:w="140"/>
              <w:bottom w:type="dxa" w:w="100"/>
              <w:right w:type="dxa" w:w="140"/>
            </w:tcMar>
          </w:tcPr>
          <w:p>
            <w:r>
              <w:rPr>
                <w:b/>
                <w:bCs/>
                <w:sz w:val="20"/>
                <w:szCs w:val="20"/>
              </w:rPr>
              <w:t xml:space="preserve">Design</w:t>
            </w:r>
          </w:p>
        </w:tc>
        <w:tc>
          <w:tcPr>
            <w:tcW w:type="dxa" w:w="7056"/>
            <w:tcBorders>
              <w:top w:val="single" w:color="CBD5E1" w:sz="4"/>
              <w:left w:val="single" w:color="CBD5E1" w:sz="4"/>
              <w:bottom w:val="single" w:color="CBD5E1" w:sz="4"/>
              <w:right w:val="single" w:color="CBD5E1" w:sz="4"/>
            </w:tcBorders>
            <w:tcMar>
              <w:top w:type="dxa" w:w="100"/>
              <w:left w:type="dxa" w:w="140"/>
              <w:bottom w:type="dxa" w:w="100"/>
              <w:right w:type="dxa" w:w="140"/>
            </w:tcMar>
          </w:tcPr>
          <w:p>
            <w:r>
              <w:rPr>
                <w:sz w:val="20"/>
                <w:szCs w:val="20"/>
              </w:rPr>
              <w:t xml:space="preserve">Naturalistic, multi-site, prospective registry. Pre-registered on OSF. Q3 2026 → Q4 2026.</w:t>
            </w:r>
          </w:p>
        </w:tc>
      </w:tr>
      <w:tr>
        <w:tc>
          <w:tcPr>
            <w:tcW w:type="dxa" w:w="3024"/>
            <w:tcBorders>
              <w:top w:val="single" w:color="CBD5E1" w:sz="4"/>
              <w:left w:val="single" w:color="CBD5E1" w:sz="4"/>
              <w:bottom w:val="single" w:color="CBD5E1" w:sz="4"/>
              <w:right w:val="single" w:color="CBD5E1" w:sz="4"/>
            </w:tcBorders>
            <w:shd w:fill="F1F5F9" w:val="clear"/>
            <w:tcMar>
              <w:top w:type="dxa" w:w="100"/>
              <w:left w:type="dxa" w:w="140"/>
              <w:bottom w:type="dxa" w:w="100"/>
              <w:right w:type="dxa" w:w="140"/>
            </w:tcMar>
          </w:tcPr>
          <w:p>
            <w:r>
              <w:rPr>
                <w:b/>
                <w:bCs/>
                <w:sz w:val="20"/>
                <w:szCs w:val="20"/>
              </w:rPr>
              <w:t xml:space="preserve">Population</w:t>
            </w:r>
          </w:p>
        </w:tc>
        <w:tc>
          <w:tcPr>
            <w:tcW w:type="dxa" w:w="7056"/>
            <w:tcBorders>
              <w:top w:val="single" w:color="CBD5E1" w:sz="4"/>
              <w:left w:val="single" w:color="CBD5E1" w:sz="4"/>
              <w:bottom w:val="single" w:color="CBD5E1" w:sz="4"/>
              <w:right w:val="single" w:color="CBD5E1" w:sz="4"/>
            </w:tcBorders>
            <w:tcMar>
              <w:top w:type="dxa" w:w="100"/>
              <w:left w:type="dxa" w:w="140"/>
              <w:bottom w:type="dxa" w:w="100"/>
              <w:right w:type="dxa" w:w="140"/>
            </w:tcMar>
          </w:tcPr>
          <w:p>
            <w:r>
              <w:rPr>
                <w:sz w:val="20"/>
                <w:szCs w:val="20"/>
              </w:rPr>
              <w:t xml:space="preserve">Adolescents ages 12–17 with DSM-5 ADHD diagnosis. Target N = 2,840 across 412 clinics.</w:t>
            </w:r>
          </w:p>
        </w:tc>
      </w:tr>
      <w:tr>
        <w:tc>
          <w:tcPr>
            <w:tcW w:type="dxa" w:w="3024"/>
            <w:tcBorders>
              <w:top w:val="single" w:color="CBD5E1" w:sz="4"/>
              <w:left w:val="single" w:color="CBD5E1" w:sz="4"/>
              <w:bottom w:val="single" w:color="CBD5E1" w:sz="4"/>
              <w:right w:val="single" w:color="CBD5E1" w:sz="4"/>
            </w:tcBorders>
            <w:shd w:fill="F1F5F9" w:val="clear"/>
            <w:tcMar>
              <w:top w:type="dxa" w:w="100"/>
              <w:left w:type="dxa" w:w="140"/>
              <w:bottom w:type="dxa" w:w="100"/>
              <w:right w:type="dxa" w:w="140"/>
            </w:tcMar>
          </w:tcPr>
          <w:p>
            <w:r>
              <w:rPr>
                <w:b/>
                <w:bCs/>
                <w:sz w:val="20"/>
                <w:szCs w:val="20"/>
              </w:rPr>
              <w:t xml:space="preserve">Intervention</w:t>
            </w:r>
          </w:p>
        </w:tc>
        <w:tc>
          <w:tcPr>
            <w:tcW w:type="dxa" w:w="7056"/>
            <w:tcBorders>
              <w:top w:val="single" w:color="CBD5E1" w:sz="4"/>
              <w:left w:val="single" w:color="CBD5E1" w:sz="4"/>
              <w:bottom w:val="single" w:color="CBD5E1" w:sz="4"/>
              <w:right w:val="single" w:color="CBD5E1" w:sz="4"/>
            </w:tcBorders>
            <w:tcMar>
              <w:top w:type="dxa" w:w="100"/>
              <w:left w:type="dxa" w:w="140"/>
              <w:bottom w:type="dxa" w:w="100"/>
              <w:right w:type="dxa" w:w="140"/>
            </w:tcMar>
          </w:tcPr>
          <w:p>
            <w:r>
              <w:rPr>
                <w:sz w:val="20"/>
                <w:szCs w:val="20"/>
              </w:rPr>
              <w:t xml:space="preserve">Home-use Mendi fNIRS prefrontal alpha up-train, 20-session protocol, 25 Hz sampling.</w:t>
            </w:r>
          </w:p>
        </w:tc>
      </w:tr>
      <w:tr>
        <w:tc>
          <w:tcPr>
            <w:tcW w:type="dxa" w:w="3024"/>
            <w:tcBorders>
              <w:top w:val="single" w:color="CBD5E1" w:sz="4"/>
              <w:left w:val="single" w:color="CBD5E1" w:sz="4"/>
              <w:bottom w:val="single" w:color="CBD5E1" w:sz="4"/>
              <w:right w:val="single" w:color="CBD5E1" w:sz="4"/>
            </w:tcBorders>
            <w:shd w:fill="F1F5F9" w:val="clear"/>
            <w:tcMar>
              <w:top w:type="dxa" w:w="100"/>
              <w:left w:type="dxa" w:w="140"/>
              <w:bottom w:type="dxa" w:w="100"/>
              <w:right w:type="dxa" w:w="140"/>
            </w:tcMar>
          </w:tcPr>
          <w:p>
            <w:r>
              <w:rPr>
                <w:b/>
                <w:bCs/>
                <w:sz w:val="20"/>
                <w:szCs w:val="20"/>
              </w:rPr>
              <w:t xml:space="preserve">Primary outcome</w:t>
            </w:r>
          </w:p>
        </w:tc>
        <w:tc>
          <w:tcPr>
            <w:tcW w:type="dxa" w:w="7056"/>
            <w:tcBorders>
              <w:top w:val="single" w:color="CBD5E1" w:sz="4"/>
              <w:left w:val="single" w:color="CBD5E1" w:sz="4"/>
              <w:bottom w:val="single" w:color="CBD5E1" w:sz="4"/>
              <w:right w:val="single" w:color="CBD5E1" w:sz="4"/>
            </w:tcBorders>
            <w:tcMar>
              <w:top w:type="dxa" w:w="100"/>
              <w:left w:type="dxa" w:w="140"/>
              <w:bottom w:type="dxa" w:w="100"/>
              <w:right w:type="dxa" w:w="140"/>
            </w:tcMar>
          </w:tcPr>
          <w:p>
            <w:r>
              <w:rPr>
                <w:sz w:val="20"/>
                <w:szCs w:val="20"/>
              </w:rPr>
              <w:t xml:space="preserve">ADHD-RS-IV total score change from baseline at session 20.</w:t>
            </w:r>
          </w:p>
        </w:tc>
      </w:tr>
      <w:tr>
        <w:tc>
          <w:tcPr>
            <w:tcW w:type="dxa" w:w="3024"/>
            <w:tcBorders>
              <w:top w:val="single" w:color="CBD5E1" w:sz="4"/>
              <w:left w:val="single" w:color="CBD5E1" w:sz="4"/>
              <w:bottom w:val="single" w:color="CBD5E1" w:sz="4"/>
              <w:right w:val="single" w:color="CBD5E1" w:sz="4"/>
            </w:tcBorders>
            <w:shd w:fill="F1F5F9" w:val="clear"/>
            <w:tcMar>
              <w:top w:type="dxa" w:w="100"/>
              <w:left w:type="dxa" w:w="140"/>
              <w:bottom w:type="dxa" w:w="100"/>
              <w:right w:type="dxa" w:w="140"/>
            </w:tcMar>
          </w:tcPr>
          <w:p>
            <w:r>
              <w:rPr>
                <w:b/>
                <w:bCs/>
                <w:sz w:val="20"/>
                <w:szCs w:val="20"/>
              </w:rPr>
              <w:t xml:space="preserve">Secondary outcomes</w:t>
            </w:r>
          </w:p>
        </w:tc>
        <w:tc>
          <w:tcPr>
            <w:tcW w:type="dxa" w:w="7056"/>
            <w:tcBorders>
              <w:top w:val="single" w:color="CBD5E1" w:sz="4"/>
              <w:left w:val="single" w:color="CBD5E1" w:sz="4"/>
              <w:bottom w:val="single" w:color="CBD5E1" w:sz="4"/>
              <w:right w:val="single" w:color="CBD5E1" w:sz="4"/>
            </w:tcBorders>
            <w:tcMar>
              <w:top w:type="dxa" w:w="100"/>
              <w:left w:type="dxa" w:w="140"/>
              <w:bottom w:type="dxa" w:w="100"/>
              <w:right w:type="dxa" w:w="140"/>
            </w:tcMar>
          </w:tcPr>
          <w:p>
            <w:r>
              <w:rPr>
                <w:sz w:val="20"/>
                <w:szCs w:val="20"/>
              </w:rPr>
              <w:t xml:space="preserve">PHQ-9, GAD-7, sleep efficiency (Oura), reward-score trajectory, ΔHbO at Fp1/Fp2.</w:t>
            </w:r>
          </w:p>
        </w:tc>
      </w:tr>
      <w:tr>
        <w:tc>
          <w:tcPr>
            <w:tcW w:type="dxa" w:w="3024"/>
            <w:tcBorders>
              <w:top w:val="single" w:color="CBD5E1" w:sz="4"/>
              <w:left w:val="single" w:color="CBD5E1" w:sz="4"/>
              <w:bottom w:val="single" w:color="CBD5E1" w:sz="4"/>
              <w:right w:val="single" w:color="CBD5E1" w:sz="4"/>
            </w:tcBorders>
            <w:shd w:fill="F1F5F9" w:val="clear"/>
            <w:tcMar>
              <w:top w:type="dxa" w:w="100"/>
              <w:left w:type="dxa" w:w="140"/>
              <w:bottom w:type="dxa" w:w="100"/>
              <w:right w:type="dxa" w:w="140"/>
            </w:tcMar>
          </w:tcPr>
          <w:p>
            <w:r>
              <w:rPr>
                <w:b/>
                <w:bCs/>
                <w:sz w:val="20"/>
                <w:szCs w:val="20"/>
              </w:rPr>
              <w:t xml:space="preserve">Risk level</w:t>
            </w:r>
          </w:p>
        </w:tc>
        <w:tc>
          <w:tcPr>
            <w:tcW w:type="dxa" w:w="7056"/>
            <w:tcBorders>
              <w:top w:val="single" w:color="CBD5E1" w:sz="4"/>
              <w:left w:val="single" w:color="CBD5E1" w:sz="4"/>
              <w:bottom w:val="single" w:color="CBD5E1" w:sz="4"/>
              <w:right w:val="single" w:color="CBD5E1" w:sz="4"/>
            </w:tcBorders>
            <w:tcMar>
              <w:top w:type="dxa" w:w="100"/>
              <w:left w:type="dxa" w:w="140"/>
              <w:bottom w:type="dxa" w:w="100"/>
              <w:right w:type="dxa" w:w="140"/>
            </w:tcMar>
          </w:tcPr>
          <w:p>
            <w:r>
              <w:rPr>
                <w:sz w:val="20"/>
                <w:szCs w:val="20"/>
              </w:rPr>
              <w:t xml:space="preserve">Minimal — no investigational device, no investigational drug, software-only data aggregation.</w:t>
            </w:r>
          </w:p>
        </w:tc>
      </w:tr>
      <w:tr>
        <w:tc>
          <w:tcPr>
            <w:tcW w:type="dxa" w:w="3024"/>
            <w:tcBorders>
              <w:top w:val="single" w:color="CBD5E1" w:sz="4"/>
              <w:left w:val="single" w:color="CBD5E1" w:sz="4"/>
              <w:bottom w:val="single" w:color="CBD5E1" w:sz="4"/>
              <w:right w:val="single" w:color="CBD5E1" w:sz="4"/>
            </w:tcBorders>
            <w:shd w:fill="F1F5F9" w:val="clear"/>
            <w:tcMar>
              <w:top w:type="dxa" w:w="100"/>
              <w:left w:type="dxa" w:w="140"/>
              <w:bottom w:type="dxa" w:w="100"/>
              <w:right w:type="dxa" w:w="140"/>
            </w:tcMar>
          </w:tcPr>
          <w:p>
            <w:r>
              <w:rPr>
                <w:b/>
                <w:bCs/>
                <w:sz w:val="20"/>
                <w:szCs w:val="20"/>
              </w:rPr>
              <w:t xml:space="preserve">Funding</w:t>
            </w:r>
          </w:p>
        </w:tc>
        <w:tc>
          <w:tcPr>
            <w:tcW w:type="dxa" w:w="7056"/>
            <w:tcBorders>
              <w:top w:val="single" w:color="CBD5E1" w:sz="4"/>
              <w:left w:val="single" w:color="CBD5E1" w:sz="4"/>
              <w:bottom w:val="single" w:color="CBD5E1" w:sz="4"/>
              <w:right w:val="single" w:color="CBD5E1" w:sz="4"/>
            </w:tcBorders>
            <w:tcMar>
              <w:top w:type="dxa" w:w="100"/>
              <w:left w:type="dxa" w:w="140"/>
              <w:bottom w:type="dxa" w:w="100"/>
              <w:right w:type="dxa" w:w="140"/>
            </w:tcMar>
          </w:tcPr>
          <w:p>
            <w:r>
              <w:rPr>
                <w:sz w:val="20"/>
                <w:szCs w:val="20"/>
              </w:rPr>
              <w:t xml:space="preserve">EEGBase research credits 2026 Q2 + Mendi MDF (proposed).</w:t>
            </w:r>
          </w:p>
        </w:tc>
      </w:tr>
    </w:tbl>
    <w:p>
      <w:pPr>
        <w:pStyle w:val="Heading1"/>
        <w:spacing w:after="180" w:before="360"/>
      </w:pPr>
      <w:r>
        <w:rPr>
          <w:b/>
          <w:bCs/>
          <w:color w:val="0F172A"/>
          <w:sz w:val="32"/>
          <w:szCs w:val="32"/>
        </w:rPr>
        <w:t xml:space="preserve">1 · Specific Aims</w:t>
      </w:r>
    </w:p>
    <w:p>
      <w:pPr>
        <w:spacing w:after="100" w:before="0"/>
      </w:pPr>
      <w:r>
        <w:rPr>
          <w:sz w:val="22"/>
          <w:szCs w:val="22"/>
        </w:rPr>
        <w:t xml:space="preserve">This registry will assess real-world effectiveness, safety, and adherence of home-use Mendi fNIRS neurofeedback in adolescent ADHD when paired with weekly clinic supervision via the EEGBase clinical platform.</w:t>
      </w:r>
    </w:p>
    <w:p>
      <w:pPr>
        <w:spacing w:after="80" w:before="0"/>
      </w:pPr>
      <w:r>
        <w:rPr>
          <w:b/>
          <w:bCs/>
          <w:sz w:val="22"/>
          <w:szCs w:val="22"/>
        </w:rPr>
        <w:t xml:space="preserve">Specific aims:</w:t>
      </w:r>
    </w:p>
    <w:p>
      <w:pPr>
        <w:pStyle w:val="ListParagraph"/>
        <w:numPr>
          <w:ilvl w:val="0"/>
          <w:numId w:val="2"/>
        </w:numPr>
        <w:spacing w:after="80"/>
      </w:pPr>
      <w:r>
        <w:rPr>
          <w:sz w:val="22"/>
          <w:szCs w:val="22"/>
        </w:rPr>
        <w:t xml:space="preserve">Aim 1 — Quantify ADHD-RS change at 20 sessions across a heterogeneous community-clinic population (n ≈ 2,840 adolescents).</w:t>
      </w:r>
    </w:p>
    <w:p>
      <w:pPr>
        <w:pStyle w:val="ListParagraph"/>
        <w:numPr>
          <w:ilvl w:val="0"/>
          <w:numId w:val="2"/>
        </w:numPr>
        <w:spacing w:after="80"/>
      </w:pPr>
      <w:r>
        <w:rPr>
          <w:sz w:val="22"/>
          <w:szCs w:val="22"/>
        </w:rPr>
        <w:t xml:space="preserve">Aim 2 — Identify pre-treatment predictors of response (baseline theta/beta z-score, sleep efficiency, medication status, family history).</w:t>
      </w:r>
    </w:p>
    <w:p>
      <w:pPr>
        <w:pStyle w:val="ListParagraph"/>
        <w:numPr>
          <w:ilvl w:val="0"/>
          <w:numId w:val="2"/>
        </w:numPr>
        <w:spacing w:after="80"/>
      </w:pPr>
      <w:r>
        <w:rPr>
          <w:sz w:val="22"/>
          <w:szCs w:val="22"/>
        </w:rPr>
        <w:t xml:space="preserve">Aim 3 — Characterize adherence patterns: dropout rates, session-completion velocity, between-session check-in frequency.</w:t>
      </w:r>
    </w:p>
    <w:p>
      <w:pPr>
        <w:pStyle w:val="ListParagraph"/>
        <w:numPr>
          <w:ilvl w:val="0"/>
          <w:numId w:val="2"/>
        </w:numPr>
        <w:spacing w:after="80"/>
      </w:pPr>
      <w:r>
        <w:rPr>
          <w:sz w:val="22"/>
          <w:szCs w:val="22"/>
        </w:rPr>
        <w:t xml:space="preserve">Aim 4 — Establish a BIDS-fNIRS-compliant registry (BEP-030) for downstream secondary analyses by Mendi's science team and contributing clinics.</w:t>
      </w:r>
    </w:p>
    <w:p>
      <w:pPr>
        <w:pStyle w:val="Heading1"/>
        <w:spacing w:after="180" w:before="360"/>
      </w:pPr>
      <w:r>
        <w:rPr>
          <w:b/>
          <w:bCs/>
          <w:color w:val="0F172A"/>
          <w:sz w:val="32"/>
          <w:szCs w:val="32"/>
        </w:rPr>
        <w:t xml:space="preserve">2 · Background &amp; Significance</w:t>
      </w:r>
    </w:p>
    <w:p>
      <w:pPr>
        <w:spacing w:after="100" w:before="0"/>
      </w:pPr>
      <w:r>
        <w:rPr>
          <w:sz w:val="22"/>
          <w:szCs w:val="22"/>
        </w:rPr>
        <w:t xml:space="preserve">Recent meta-analyses of fNIRS-based neurofeedback for ADHD demonstrate small-to-moderate effects on inhibitory control and ADHD symptom reduction, with effect sizes comparable to standard EEG neurofeedback (Sitaram et al., 2017; Arns et al., 2014). Mendi's own working-memory validation (2023) demonstrated signal fidelity against research-grade fNIRS in adult subjects.</w:t>
      </w:r>
    </w:p>
    <w:p>
      <w:pPr>
        <w:spacing w:after="100" w:before="0"/>
      </w:pPr>
      <w:r>
        <w:rPr>
          <w:sz w:val="22"/>
          <w:szCs w:val="22"/>
        </w:rPr>
        <w:t xml:space="preserve">What is missing from the literature is a real-world, multi-clinic registry that captures the full distribution of patients seen in community practice, rather than the highly-selected samples typical of single-site academic trials. This registry directly addresses that gap.</w:t>
      </w:r>
    </w:p>
    <w:p>
      <w:pPr>
        <w:pStyle w:val="Heading1"/>
        <w:spacing w:after="180" w:before="360"/>
      </w:pPr>
      <w:r>
        <w:rPr>
          <w:b/>
          <w:bCs/>
          <w:color w:val="0F172A"/>
          <w:sz w:val="32"/>
          <w:szCs w:val="32"/>
        </w:rPr>
        <w:t xml:space="preserve">3 · Study Procedures</w:t>
      </w:r>
    </w:p>
    <w:p>
      <w:pPr>
        <w:pStyle w:val="Heading2"/>
        <w:spacing w:after="120" w:before="240"/>
      </w:pPr>
      <w:r>
        <w:rPr>
          <w:b/>
          <w:bCs/>
          <w:color w:val="0F172A"/>
          <w:sz w:val="26"/>
          <w:szCs w:val="26"/>
        </w:rPr>
        <w:t xml:space="preserve">3.1 Recruitment</w:t>
      </w:r>
    </w:p>
    <w:p>
      <w:pPr>
        <w:pStyle w:val="ListParagraph"/>
        <w:numPr>
          <w:ilvl w:val="0"/>
          <w:numId w:val="2"/>
        </w:numPr>
        <w:spacing w:after="80"/>
      </w:pPr>
      <w:r>
        <w:rPr>
          <w:sz w:val="22"/>
          <w:szCs w:val="22"/>
        </w:rPr>
        <w:t xml:space="preserve">Participants are referred from contributing community clinics already prescribing Mendi neurofeedback as part of standard care.</w:t>
      </w:r>
    </w:p>
    <w:p>
      <w:pPr>
        <w:pStyle w:val="ListParagraph"/>
        <w:numPr>
          <w:ilvl w:val="0"/>
          <w:numId w:val="2"/>
        </w:numPr>
        <w:spacing w:after="80"/>
      </w:pPr>
      <w:r>
        <w:rPr>
          <w:sz w:val="22"/>
          <w:szCs w:val="22"/>
        </w:rPr>
        <w:t xml:space="preserve">Eligible families are invited to consent to having their de-identified clinic data contributed to the registry.</w:t>
      </w:r>
    </w:p>
    <w:p>
      <w:pPr>
        <w:pStyle w:val="ListParagraph"/>
        <w:numPr>
          <w:ilvl w:val="0"/>
          <w:numId w:val="2"/>
        </w:numPr>
        <w:spacing w:after="80"/>
      </w:pPr>
      <w:r>
        <w:rPr>
          <w:sz w:val="22"/>
          <w:szCs w:val="22"/>
        </w:rPr>
        <w:t xml:space="preserve">Mendi-attached clinics are recruited via the EEGBase Partner Program; participation is voluntary and clinic-level opt-in.</w:t>
      </w:r>
    </w:p>
    <w:p>
      <w:pPr>
        <w:pStyle w:val="Heading2"/>
        <w:spacing w:after="120" w:before="240"/>
      </w:pPr>
      <w:r>
        <w:rPr>
          <w:b/>
          <w:bCs/>
          <w:color w:val="0F172A"/>
          <w:sz w:val="26"/>
          <w:szCs w:val="26"/>
        </w:rPr>
        <w:t xml:space="preserve">3.2 Inclusion criteria</w:t>
      </w:r>
    </w:p>
    <w:p>
      <w:pPr>
        <w:pStyle w:val="ListParagraph"/>
        <w:numPr>
          <w:ilvl w:val="0"/>
          <w:numId w:val="2"/>
        </w:numPr>
        <w:spacing w:after="80"/>
      </w:pPr>
      <w:r>
        <w:rPr>
          <w:sz w:val="22"/>
          <w:szCs w:val="22"/>
        </w:rPr>
        <w:t xml:space="preserve">Age 12–17 at enrollment</w:t>
      </w:r>
    </w:p>
    <w:p>
      <w:pPr>
        <w:pStyle w:val="ListParagraph"/>
        <w:numPr>
          <w:ilvl w:val="0"/>
          <w:numId w:val="2"/>
        </w:numPr>
        <w:spacing w:after="80"/>
      </w:pPr>
      <w:r>
        <w:rPr>
          <w:sz w:val="22"/>
          <w:szCs w:val="22"/>
        </w:rPr>
        <w:t xml:space="preserve">DSM-5 ADHD diagnosis confirmed by treating clinician</w:t>
      </w:r>
    </w:p>
    <w:p>
      <w:pPr>
        <w:pStyle w:val="ListParagraph"/>
        <w:numPr>
          <w:ilvl w:val="0"/>
          <w:numId w:val="2"/>
        </w:numPr>
        <w:spacing w:after="80"/>
      </w:pPr>
      <w:r>
        <w:rPr>
          <w:sz w:val="22"/>
          <w:szCs w:val="22"/>
        </w:rPr>
        <w:t xml:space="preserve">Parent/guardian + assenting adolescent agree to data contribution</w:t>
      </w:r>
    </w:p>
    <w:p>
      <w:pPr>
        <w:pStyle w:val="ListParagraph"/>
        <w:numPr>
          <w:ilvl w:val="0"/>
          <w:numId w:val="2"/>
        </w:numPr>
        <w:spacing w:after="80"/>
      </w:pPr>
      <w:r>
        <w:rPr>
          <w:sz w:val="22"/>
          <w:szCs w:val="22"/>
        </w:rPr>
        <w:t xml:space="preserve">Ability to comply with 20-session home protocol over 8–12 weeks</w:t>
      </w:r>
    </w:p>
    <w:p>
      <w:pPr>
        <w:pStyle w:val="Heading2"/>
        <w:spacing w:after="120" w:before="240"/>
      </w:pPr>
      <w:r>
        <w:rPr>
          <w:b/>
          <w:bCs/>
          <w:color w:val="0F172A"/>
          <w:sz w:val="26"/>
          <w:szCs w:val="26"/>
        </w:rPr>
        <w:t xml:space="preserve">3.3 Exclusion criteria</w:t>
      </w:r>
    </w:p>
    <w:p>
      <w:pPr>
        <w:pStyle w:val="ListParagraph"/>
        <w:numPr>
          <w:ilvl w:val="0"/>
          <w:numId w:val="2"/>
        </w:numPr>
        <w:spacing w:after="80"/>
      </w:pPr>
      <w:r>
        <w:rPr>
          <w:sz w:val="22"/>
          <w:szCs w:val="22"/>
        </w:rPr>
        <w:t xml:space="preserve">Comorbid psychotic disorder, current substance-use disorder, or head injury within prior 12 months</w:t>
      </w:r>
    </w:p>
    <w:p>
      <w:pPr>
        <w:pStyle w:val="ListParagraph"/>
        <w:numPr>
          <w:ilvl w:val="0"/>
          <w:numId w:val="2"/>
        </w:numPr>
        <w:spacing w:after="80"/>
      </w:pPr>
      <w:r>
        <w:rPr>
          <w:sz w:val="22"/>
          <w:szCs w:val="22"/>
        </w:rPr>
        <w:t xml:space="preserve">Active suicidal ideation requiring higher level of care</w:t>
      </w:r>
    </w:p>
    <w:p>
      <w:pPr>
        <w:pStyle w:val="ListParagraph"/>
        <w:numPr>
          <w:ilvl w:val="0"/>
          <w:numId w:val="2"/>
        </w:numPr>
        <w:spacing w:after="80"/>
      </w:pPr>
      <w:r>
        <w:rPr>
          <w:sz w:val="22"/>
          <w:szCs w:val="22"/>
        </w:rPr>
        <w:t xml:space="preserve">Prior neurofeedback treatment within 90 days</w:t>
      </w:r>
    </w:p>
    <w:p>
      <w:pPr>
        <w:pStyle w:val="Heading2"/>
        <w:spacing w:after="120" w:before="240"/>
      </w:pPr>
      <w:r>
        <w:rPr>
          <w:b/>
          <w:bCs/>
          <w:color w:val="0F172A"/>
          <w:sz w:val="26"/>
          <w:szCs w:val="26"/>
        </w:rPr>
        <w:t xml:space="preserve">3.4 Intervention protocol</w:t>
      </w:r>
    </w:p>
    <w:p>
      <w:pPr>
        <w:spacing w:after="100" w:before="0"/>
      </w:pPr>
      <w:r>
        <w:rPr>
          <w:sz w:val="22"/>
          <w:szCs w:val="22"/>
        </w:rPr>
        <w:t xml:space="preserve">Standard Mendi prefrontal alpha up-train protocol delivered at home: 20 sessions, 22 minutes each, paced 2–3 times per week. Each session is automatically streamed to EEGBase via Bluetooth + cloud sync. Weekly clinic visits (in-person or telehealth) for clinical oversight, protocol adjustment, and safety monitoring.</w:t>
      </w:r>
    </w:p>
    <w:p>
      <w:pPr>
        <w:pStyle w:val="Heading2"/>
        <w:spacing w:after="120" w:before="240"/>
      </w:pPr>
      <w:r>
        <w:rPr>
          <w:b/>
          <w:bCs/>
          <w:color w:val="0F172A"/>
          <w:sz w:val="26"/>
          <w:szCs w:val="26"/>
        </w:rPr>
        <w:t xml:space="preserve">3.5 Outcome measures</w:t>
      </w:r>
    </w:p>
    <w:p>
      <w:pPr>
        <w:pStyle w:val="ListParagraph"/>
        <w:numPr>
          <w:ilvl w:val="0"/>
          <w:numId w:val="2"/>
        </w:numPr>
        <w:spacing w:after="80"/>
      </w:pPr>
      <w:r>
        <w:rPr>
          <w:sz w:val="22"/>
          <w:szCs w:val="22"/>
        </w:rPr>
        <w:t xml:space="preserve">ADHD-RS-IV at baseline, session 10, session 20 (primary)</w:t>
      </w:r>
    </w:p>
    <w:p>
      <w:pPr>
        <w:pStyle w:val="ListParagraph"/>
        <w:numPr>
          <w:ilvl w:val="0"/>
          <w:numId w:val="2"/>
        </w:numPr>
        <w:spacing w:after="80"/>
      </w:pPr>
      <w:r>
        <w:rPr>
          <w:sz w:val="22"/>
          <w:szCs w:val="22"/>
        </w:rPr>
        <w:t xml:space="preserve">PHQ-9, GAD-7 at baseline, session 10, session 20</w:t>
      </w:r>
    </w:p>
    <w:p>
      <w:pPr>
        <w:pStyle w:val="ListParagraph"/>
        <w:numPr>
          <w:ilvl w:val="0"/>
          <w:numId w:val="2"/>
        </w:numPr>
        <w:spacing w:after="80"/>
      </w:pPr>
      <w:r>
        <w:rPr>
          <w:sz w:val="22"/>
          <w:szCs w:val="22"/>
        </w:rPr>
        <w:t xml:space="preserve">In-app daily mood + sleep self-report (Likert 1–10)</w:t>
      </w:r>
    </w:p>
    <w:p>
      <w:pPr>
        <w:pStyle w:val="ListParagraph"/>
        <w:numPr>
          <w:ilvl w:val="0"/>
          <w:numId w:val="2"/>
        </w:numPr>
        <w:spacing w:after="80"/>
      </w:pPr>
      <w:r>
        <w:rPr>
          <w:sz w:val="22"/>
          <w:szCs w:val="22"/>
        </w:rPr>
        <w:t xml:space="preserve">Apple Health / Oura passive sleep efficiency, HRV (consented subset)</w:t>
      </w:r>
    </w:p>
    <w:p>
      <w:pPr>
        <w:pStyle w:val="ListParagraph"/>
        <w:numPr>
          <w:ilvl w:val="0"/>
          <w:numId w:val="2"/>
        </w:numPr>
        <w:spacing w:after="80"/>
      </w:pPr>
      <w:r>
        <w:rPr>
          <w:sz w:val="22"/>
          <w:szCs w:val="22"/>
        </w:rPr>
        <w:t xml:space="preserve">All session-level neurofeedback signals (Fp1, Fp2 OxyHb/DeoxyHb at 25 Hz)</w:t>
      </w:r>
    </w:p>
    <w:p>
      <w:pPr>
        <w:pStyle w:val="Heading1"/>
        <w:spacing w:after="180" w:before="360"/>
      </w:pPr>
      <w:r>
        <w:rPr>
          <w:b/>
          <w:bCs/>
          <w:color w:val="0F172A"/>
          <w:sz w:val="32"/>
          <w:szCs w:val="32"/>
        </w:rPr>
        <w:t xml:space="preserve">4 · Data Management</w:t>
      </w:r>
    </w:p>
    <w:p>
      <w:pPr>
        <w:pStyle w:val="Heading2"/>
        <w:spacing w:after="120" w:before="240"/>
      </w:pPr>
      <w:r>
        <w:rPr>
          <w:b/>
          <w:bCs/>
          <w:color w:val="0F172A"/>
          <w:sz w:val="26"/>
          <w:szCs w:val="26"/>
        </w:rPr>
        <w:t xml:space="preserve">4.1 Storage architecture</w:t>
      </w:r>
    </w:p>
    <w:p>
      <w:pPr>
        <w:pStyle w:val="ListParagraph"/>
        <w:numPr>
          <w:ilvl w:val="0"/>
          <w:numId w:val="2"/>
        </w:numPr>
        <w:spacing w:after="80"/>
      </w:pPr>
      <w:r>
        <w:rPr>
          <w:b/>
          <w:bCs/>
          <w:sz w:val="22"/>
          <w:szCs w:val="22"/>
        </w:rPr>
        <w:t xml:space="preserve">Site-of-care retention: </w:t>
      </w:r>
      <w:r>
        <w:rPr>
          <w:sz w:val="22"/>
          <w:szCs w:val="22"/>
        </w:rPr>
        <w:t xml:space="preserve">Raw waveforms remain on the contributing clinic's EEGBase instance. EEGBase, Inc. and Mendi receive only de-identified BIDS-compatible exports.</w:t>
      </w:r>
    </w:p>
    <w:p>
      <w:pPr>
        <w:pStyle w:val="ListParagraph"/>
        <w:numPr>
          <w:ilvl w:val="0"/>
          <w:numId w:val="2"/>
        </w:numPr>
        <w:spacing w:after="80"/>
      </w:pPr>
      <w:r>
        <w:rPr>
          <w:b/>
          <w:bCs/>
          <w:sz w:val="22"/>
          <w:szCs w:val="22"/>
        </w:rPr>
        <w:t xml:space="preserve">Region: </w:t>
      </w:r>
      <w:r>
        <w:rPr>
          <w:sz w:val="22"/>
          <w:szCs w:val="22"/>
        </w:rPr>
        <w:t xml:space="preserve">Registry data hosted on AWS us-east-1 (Tier IV) with encrypted cross-region replication to ca-central-1. EU clinics use eu-west-3 (Frankfurt) under Schrems II SCCs (2021/914).</w:t>
      </w:r>
    </w:p>
    <w:p>
      <w:pPr>
        <w:pStyle w:val="ListParagraph"/>
        <w:numPr>
          <w:ilvl w:val="0"/>
          <w:numId w:val="2"/>
        </w:numPr>
        <w:spacing w:after="80"/>
      </w:pPr>
      <w:r>
        <w:rPr>
          <w:b/>
          <w:bCs/>
          <w:sz w:val="22"/>
          <w:szCs w:val="22"/>
        </w:rPr>
        <w:t xml:space="preserve">Encryption: </w:t>
      </w:r>
      <w:r>
        <w:rPr>
          <w:sz w:val="22"/>
          <w:szCs w:val="22"/>
        </w:rPr>
        <w:t xml:space="preserve">AES-256-GCM at rest. TLS 1.3 with forward secrecy in transit.</w:t>
      </w:r>
    </w:p>
    <w:p>
      <w:pPr>
        <w:pStyle w:val="Heading2"/>
        <w:spacing w:after="120" w:before="240"/>
      </w:pPr>
      <w:r>
        <w:rPr>
          <w:b/>
          <w:bCs/>
          <w:color w:val="0F172A"/>
          <w:sz w:val="26"/>
          <w:szCs w:val="26"/>
        </w:rPr>
        <w:t xml:space="preserve">4.2 De-identification</w:t>
      </w:r>
    </w:p>
    <w:p>
      <w:pPr>
        <w:pStyle w:val="ListParagraph"/>
        <w:numPr>
          <w:ilvl w:val="0"/>
          <w:numId w:val="2"/>
        </w:numPr>
        <w:spacing w:after="80"/>
      </w:pPr>
      <w:r>
        <w:rPr>
          <w:sz w:val="22"/>
          <w:szCs w:val="22"/>
        </w:rPr>
        <w:t xml:space="preserve">HIPAA Safe Harbor + Expert Determination per 45 CFR § 164.514</w:t>
      </w:r>
    </w:p>
    <w:p>
      <w:pPr>
        <w:pStyle w:val="ListParagraph"/>
        <w:numPr>
          <w:ilvl w:val="0"/>
          <w:numId w:val="2"/>
        </w:numPr>
        <w:spacing w:after="80"/>
      </w:pPr>
      <w:r>
        <w:rPr>
          <w:sz w:val="22"/>
          <w:szCs w:val="22"/>
        </w:rPr>
        <w:t xml:space="preserve">Direct identifiers stripped at site-of-care prior to upload</w:t>
      </w:r>
    </w:p>
    <w:p>
      <w:pPr>
        <w:pStyle w:val="ListParagraph"/>
        <w:numPr>
          <w:ilvl w:val="0"/>
          <w:numId w:val="2"/>
        </w:numPr>
        <w:spacing w:after="80"/>
      </w:pPr>
      <w:r>
        <w:rPr>
          <w:sz w:val="22"/>
          <w:szCs w:val="22"/>
        </w:rPr>
        <w:t xml:space="preserve">Linkage IDs are hashed pseudonyms; key held only by contributing clinic</w:t>
      </w:r>
    </w:p>
    <w:p>
      <w:pPr>
        <w:pStyle w:val="ListParagraph"/>
        <w:numPr>
          <w:ilvl w:val="0"/>
          <w:numId w:val="2"/>
        </w:numPr>
        <w:spacing w:after="80"/>
      </w:pPr>
      <w:r>
        <w:rPr>
          <w:sz w:val="22"/>
          <w:szCs w:val="22"/>
        </w:rPr>
        <w:t xml:space="preserve">Geographic precision limited to first 3 zip-code digits per Safe Harbor</w:t>
      </w:r>
    </w:p>
    <w:p>
      <w:pPr>
        <w:pStyle w:val="Heading2"/>
        <w:spacing w:after="120" w:before="240"/>
      </w:pPr>
      <w:r>
        <w:rPr>
          <w:b/>
          <w:bCs/>
          <w:color w:val="0F172A"/>
          <w:sz w:val="26"/>
          <w:szCs w:val="26"/>
        </w:rPr>
        <w:t xml:space="preserve">4.3 BIDS-fNIRS schema</w:t>
      </w:r>
    </w:p>
    <w:p>
      <w:pPr>
        <w:spacing w:after="100" w:before="0"/>
      </w:pPr>
      <w:r>
        <w:rPr>
          <w:sz w:val="22"/>
          <w:szCs w:val="22"/>
        </w:rPr>
        <w:t xml:space="preserve">All exports conform to BIDS Extension Proposal 30 (BEP-030) for fNIRS data. Each session produces (a) a SNIRF binary file with raw signals and (b) a JSON sidecar with metadata, motion-artifact statistics, preprocessing pipeline, and outcome scores. A sample sidecar is included as Appendix A and available at eegbase.vercel.app/downloads.</w:t>
      </w:r>
    </w:p>
    <w:p>
      <w:pPr>
        <w:pStyle w:val="Heading2"/>
        <w:spacing w:after="120" w:before="240"/>
      </w:pPr>
      <w:r>
        <w:rPr>
          <w:b/>
          <w:bCs/>
          <w:color w:val="0F172A"/>
          <w:sz w:val="26"/>
          <w:szCs w:val="26"/>
        </w:rPr>
        <w:t xml:space="preserve">4.4 Data sharing</w:t>
      </w:r>
    </w:p>
    <w:p>
      <w:pPr>
        <w:pStyle w:val="ListParagraph"/>
        <w:numPr>
          <w:ilvl w:val="0"/>
          <w:numId w:val="2"/>
        </w:numPr>
        <w:spacing w:after="80"/>
      </w:pPr>
      <w:r>
        <w:rPr>
          <w:sz w:val="22"/>
          <w:szCs w:val="22"/>
        </w:rPr>
        <w:t xml:space="preserve">Mendi science team receives a quarterly de-identified BIDS export under the registry DUA</w:t>
      </w:r>
    </w:p>
    <w:p>
      <w:pPr>
        <w:pStyle w:val="ListParagraph"/>
        <w:numPr>
          <w:ilvl w:val="0"/>
          <w:numId w:val="2"/>
        </w:numPr>
        <w:spacing w:after="80"/>
      </w:pPr>
      <w:r>
        <w:rPr>
          <w:sz w:val="22"/>
          <w:szCs w:val="22"/>
        </w:rPr>
        <w:t xml:space="preserve">Contributing clinics receive their own dataset + access to aggregate statistics across the registry</w:t>
      </w:r>
    </w:p>
    <w:p>
      <w:pPr>
        <w:pStyle w:val="ListParagraph"/>
        <w:numPr>
          <w:ilvl w:val="0"/>
          <w:numId w:val="2"/>
        </w:numPr>
        <w:spacing w:after="80"/>
      </w:pPr>
      <w:r>
        <w:rPr>
          <w:sz w:val="22"/>
          <w:szCs w:val="22"/>
        </w:rPr>
        <w:t xml:space="preserve">Public release of aggregate-level findings via OSF after publication; individual-level data not released</w:t>
      </w:r>
    </w:p>
    <w:p>
      <w:pPr>
        <w:pStyle w:val="Heading1"/>
        <w:spacing w:after="180" w:before="360"/>
      </w:pPr>
      <w:r>
        <w:rPr>
          <w:b/>
          <w:bCs/>
          <w:color w:val="0F172A"/>
          <w:sz w:val="32"/>
          <w:szCs w:val="32"/>
        </w:rPr>
        <w:t xml:space="preserve">5 · Risks &amp; Benefits</w:t>
      </w:r>
    </w:p>
    <w:p>
      <w:pPr>
        <w:pStyle w:val="Heading2"/>
        <w:spacing w:after="120" w:before="240"/>
      </w:pPr>
      <w:r>
        <w:rPr>
          <w:b/>
          <w:bCs/>
          <w:color w:val="0F172A"/>
          <w:sz w:val="26"/>
          <w:szCs w:val="26"/>
        </w:rPr>
        <w:t xml:space="preserve">5.1 Risks</w:t>
      </w:r>
    </w:p>
    <w:p>
      <w:pPr>
        <w:pStyle w:val="ListParagraph"/>
        <w:numPr>
          <w:ilvl w:val="0"/>
          <w:numId w:val="2"/>
        </w:numPr>
        <w:spacing w:after="80"/>
      </w:pPr>
      <w:r>
        <w:rPr>
          <w:sz w:val="22"/>
          <w:szCs w:val="22"/>
        </w:rPr>
        <w:t xml:space="preserve">Minimal physical risk: Mendi headband is FDA general-wellness, CE Class I, non-invasive</w:t>
      </w:r>
    </w:p>
    <w:p>
      <w:pPr>
        <w:pStyle w:val="ListParagraph"/>
        <w:numPr>
          <w:ilvl w:val="0"/>
          <w:numId w:val="2"/>
        </w:numPr>
        <w:spacing w:after="80"/>
      </w:pPr>
      <w:r>
        <w:rPr>
          <w:sz w:val="22"/>
          <w:szCs w:val="22"/>
        </w:rPr>
        <w:t xml:space="preserve">Privacy risk mitigated by Safe Harbor + Expert Determination + DUA</w:t>
      </w:r>
    </w:p>
    <w:p>
      <w:pPr>
        <w:pStyle w:val="ListParagraph"/>
        <w:numPr>
          <w:ilvl w:val="0"/>
          <w:numId w:val="2"/>
        </w:numPr>
        <w:spacing w:after="80"/>
      </w:pPr>
      <w:r>
        <w:rPr>
          <w:sz w:val="22"/>
          <w:szCs w:val="22"/>
        </w:rPr>
        <w:t xml:space="preserve">Psychological risk: standard for adolescent ADHD treatment; no greater than usual care</w:t>
      </w:r>
    </w:p>
    <w:p>
      <w:pPr>
        <w:pStyle w:val="Heading2"/>
        <w:spacing w:after="120" w:before="240"/>
      </w:pPr>
      <w:r>
        <w:rPr>
          <w:b/>
          <w:bCs/>
          <w:color w:val="0F172A"/>
          <w:sz w:val="26"/>
          <w:szCs w:val="26"/>
        </w:rPr>
        <w:t xml:space="preserve">5.2 Benefits</w:t>
      </w:r>
    </w:p>
    <w:p>
      <w:pPr>
        <w:pStyle w:val="ListParagraph"/>
        <w:numPr>
          <w:ilvl w:val="0"/>
          <w:numId w:val="2"/>
        </w:numPr>
        <w:spacing w:after="80"/>
      </w:pPr>
      <w:r>
        <w:rPr>
          <w:sz w:val="22"/>
          <w:szCs w:val="22"/>
        </w:rPr>
        <w:t xml:space="preserve">Direct: clinical outcomes from improved ADHD symptom management (per existing evidence)</w:t>
      </w:r>
    </w:p>
    <w:p>
      <w:pPr>
        <w:pStyle w:val="ListParagraph"/>
        <w:numPr>
          <w:ilvl w:val="0"/>
          <w:numId w:val="2"/>
        </w:numPr>
        <w:spacing w:after="80"/>
      </w:pPr>
      <w:r>
        <w:rPr>
          <w:sz w:val="22"/>
          <w:szCs w:val="22"/>
        </w:rPr>
        <w:t xml:space="preserve">Indirect: contribution to scientific literature; benefits future patients</w:t>
      </w:r>
    </w:p>
    <w:p>
      <w:pPr>
        <w:pStyle w:val="ListParagraph"/>
        <w:numPr>
          <w:ilvl w:val="0"/>
          <w:numId w:val="2"/>
        </w:numPr>
        <w:spacing w:after="80"/>
      </w:pPr>
      <w:r>
        <w:rPr>
          <w:sz w:val="22"/>
          <w:szCs w:val="22"/>
        </w:rPr>
        <w:t xml:space="preserve">No financial compensation; no inducement</w:t>
      </w:r>
    </w:p>
    <w:p>
      <w:pPr>
        <w:pStyle w:val="Heading1"/>
        <w:spacing w:after="180" w:before="360"/>
      </w:pPr>
      <w:r>
        <w:rPr>
          <w:b/>
          <w:bCs/>
          <w:color w:val="0F172A"/>
          <w:sz w:val="32"/>
          <w:szCs w:val="32"/>
        </w:rPr>
        <w:t xml:space="preserve">6 · Informed Consent / Assent</w:t>
      </w:r>
    </w:p>
    <w:p>
      <w:pPr>
        <w:spacing w:after="100" w:before="0"/>
      </w:pPr>
      <w:r>
        <w:rPr>
          <w:sz w:val="22"/>
          <w:szCs w:val="22"/>
        </w:rPr>
        <w:t xml:space="preserve">Three documents are provided to participants:</w:t>
      </w:r>
    </w:p>
    <w:p>
      <w:pPr>
        <w:pStyle w:val="ListParagraph"/>
        <w:numPr>
          <w:ilvl w:val="0"/>
          <w:numId w:val="2"/>
        </w:numPr>
        <w:spacing w:after="80"/>
      </w:pPr>
      <w:r>
        <w:rPr>
          <w:sz w:val="22"/>
          <w:szCs w:val="22"/>
        </w:rPr>
        <w:t xml:space="preserve">Parent/Guardian Consent (long form, plain language, 8th-grade reading level, English + Spanish)</w:t>
      </w:r>
    </w:p>
    <w:p>
      <w:pPr>
        <w:pStyle w:val="ListParagraph"/>
        <w:numPr>
          <w:ilvl w:val="0"/>
          <w:numId w:val="2"/>
        </w:numPr>
        <w:spacing w:after="80"/>
      </w:pPr>
      <w:r>
        <w:rPr>
          <w:sz w:val="22"/>
          <w:szCs w:val="22"/>
        </w:rPr>
        <w:t xml:space="preserve">Adolescent Assent (age-appropriate, explains what data is shared and why)</w:t>
      </w:r>
    </w:p>
    <w:p>
      <w:pPr>
        <w:pStyle w:val="ListParagraph"/>
        <w:numPr>
          <w:ilvl w:val="0"/>
          <w:numId w:val="2"/>
        </w:numPr>
        <w:spacing w:after="80"/>
      </w:pPr>
      <w:r>
        <w:rPr>
          <w:sz w:val="22"/>
          <w:szCs w:val="22"/>
        </w:rPr>
        <w:t xml:space="preserve">Optional Research Consent (separate from clinical consent, freely revocable)</w:t>
      </w:r>
    </w:p>
    <w:p>
      <w:pPr>
        <w:spacing w:after="100" w:before="0"/>
      </w:pPr>
      <w:r>
        <w:rPr>
          <w:sz w:val="22"/>
          <w:szCs w:val="22"/>
        </w:rPr>
        <w:t xml:space="preserve">All consent forms are administered in EEGBase's HIPAA-compliant electronic consent flow. Time-stamped audit logs of consent events are retained for 7 years.</w:t>
      </w:r>
    </w:p>
    <w:p>
      <w:pPr>
        <w:pStyle w:val="Heading1"/>
        <w:spacing w:after="180" w:before="360"/>
      </w:pPr>
      <w:r>
        <w:rPr>
          <w:b/>
          <w:bCs/>
          <w:color w:val="0F172A"/>
          <w:sz w:val="32"/>
          <w:szCs w:val="32"/>
        </w:rPr>
        <w:t xml:space="preserve">7 · Data &amp; Safety Monitoring Plan (DSMP)</w:t>
      </w:r>
    </w:p>
    <w:p>
      <w:pPr>
        <w:spacing w:after="100" w:before="0"/>
      </w:pPr>
      <w:r>
        <w:rPr>
          <w:sz w:val="22"/>
          <w:szCs w:val="22"/>
        </w:rPr>
        <w:t xml:space="preserve">A Data &amp; Safety Monitoring Board (DSMB) of 3 external members reviews aggregate data quarterly. The DSMB has authority to recommend protocol modification or registry pause if any of the following thresholds are crossed:</w:t>
      </w:r>
    </w:p>
    <w:p>
      <w:pPr>
        <w:pStyle w:val="ListParagraph"/>
        <w:numPr>
          <w:ilvl w:val="0"/>
          <w:numId w:val="2"/>
        </w:numPr>
        <w:spacing w:after="80"/>
      </w:pPr>
      <w:r>
        <w:rPr>
          <w:sz w:val="22"/>
          <w:szCs w:val="22"/>
        </w:rPr>
        <w:t xml:space="preserve">Adverse event rate &gt; 2× baseline community standard</w:t>
      </w:r>
    </w:p>
    <w:p>
      <w:pPr>
        <w:pStyle w:val="ListParagraph"/>
        <w:numPr>
          <w:ilvl w:val="0"/>
          <w:numId w:val="2"/>
        </w:numPr>
        <w:spacing w:after="80"/>
      </w:pPr>
      <w:r>
        <w:rPr>
          <w:sz w:val="22"/>
          <w:szCs w:val="22"/>
        </w:rPr>
        <w:t xml:space="preserve">Drop-out rate &gt; 35% at session 10</w:t>
      </w:r>
    </w:p>
    <w:p>
      <w:pPr>
        <w:pStyle w:val="ListParagraph"/>
        <w:numPr>
          <w:ilvl w:val="0"/>
          <w:numId w:val="2"/>
        </w:numPr>
        <w:spacing w:after="80"/>
      </w:pPr>
      <w:r>
        <w:rPr>
          <w:sz w:val="22"/>
          <w:szCs w:val="22"/>
        </w:rPr>
        <w:t xml:space="preserve">Any serious adverse event requiring hospitalization</w:t>
      </w:r>
    </w:p>
    <w:p>
      <w:pPr>
        <w:spacing w:after="100" w:before="0"/>
      </w:pPr>
      <w:r>
        <w:rPr>
          <w:sz w:val="22"/>
          <w:szCs w:val="22"/>
        </w:rPr>
        <w:t xml:space="preserve">Public DSMB charter and quarterly summaries published at eegbase.vercel.app/status.</w:t>
      </w:r>
    </w:p>
    <w:p>
      <w:pPr>
        <w:pStyle w:val="Heading1"/>
        <w:spacing w:after="180" w:before="360"/>
      </w:pPr>
      <w:r>
        <w:rPr>
          <w:b/>
          <w:bCs/>
          <w:color w:val="0F172A"/>
          <w:sz w:val="32"/>
          <w:szCs w:val="32"/>
        </w:rPr>
        <w:t xml:space="preserve">8 · Statistical Analysis Plan</w:t>
      </w:r>
    </w:p>
    <w:p>
      <w:pPr>
        <w:pStyle w:val="ListParagraph"/>
        <w:numPr>
          <w:ilvl w:val="0"/>
          <w:numId w:val="2"/>
        </w:numPr>
        <w:spacing w:after="80"/>
      </w:pPr>
      <w:r>
        <w:rPr>
          <w:sz w:val="22"/>
          <w:szCs w:val="22"/>
        </w:rPr>
        <w:t xml:space="preserve">Primary: ADHD-RS change from baseline analyzed via mixed-effects model with random effects for clinic + clinician</w:t>
      </w:r>
    </w:p>
    <w:p>
      <w:pPr>
        <w:pStyle w:val="ListParagraph"/>
        <w:numPr>
          <w:ilvl w:val="0"/>
          <w:numId w:val="2"/>
        </w:numPr>
        <w:spacing w:after="80"/>
      </w:pPr>
      <w:r>
        <w:rPr>
          <w:sz w:val="22"/>
          <w:szCs w:val="22"/>
        </w:rPr>
        <w:t xml:space="preserve">Secondary: PHQ-9, GAD-7 change tested with bonferroni-corrected paired t-tests</w:t>
      </w:r>
    </w:p>
    <w:p>
      <w:pPr>
        <w:pStyle w:val="ListParagraph"/>
        <w:numPr>
          <w:ilvl w:val="0"/>
          <w:numId w:val="2"/>
        </w:numPr>
        <w:spacing w:after="80"/>
      </w:pPr>
      <w:r>
        <w:rPr>
          <w:sz w:val="22"/>
          <w:szCs w:val="22"/>
        </w:rPr>
        <w:t xml:space="preserve">Pre-registered effect size: clinically meaningful improvement defined as ADHD-RS reduction ≥ 30%</w:t>
      </w:r>
    </w:p>
    <w:p>
      <w:pPr>
        <w:pStyle w:val="ListParagraph"/>
        <w:numPr>
          <w:ilvl w:val="0"/>
          <w:numId w:val="2"/>
        </w:numPr>
        <w:spacing w:after="80"/>
      </w:pPr>
      <w:r>
        <w:rPr>
          <w:sz w:val="22"/>
          <w:szCs w:val="22"/>
        </w:rPr>
        <w:t xml:space="preserve">Powered to detect effect size d ≥ 0.40 at α = 0.01 with n = 2,840</w:t>
      </w:r>
    </w:p>
    <w:p>
      <w:pPr>
        <w:pStyle w:val="Heading1"/>
        <w:spacing w:after="180" w:before="360"/>
      </w:pPr>
      <w:r>
        <w:rPr>
          <w:b/>
          <w:bCs/>
          <w:color w:val="0F172A"/>
          <w:sz w:val="32"/>
          <w:szCs w:val="32"/>
        </w:rPr>
        <w:t xml:space="preserve">9 · Investigator Team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24"/>
        <w:gridCol w:w="4032"/>
        <w:gridCol w:w="3024"/>
      </w:tblGrid>
      <w:tr>
        <w:tc>
          <w:tcPr>
            <w:tcW w:type="dxa" w:w="3024"/>
            <w:tcBorders>
              <w:top w:val="single" w:color="CBD5E1" w:sz="4"/>
              <w:left w:val="single" w:color="CBD5E1" w:sz="4"/>
              <w:bottom w:val="single" w:color="CBD5E1" w:sz="4"/>
              <w:right w:val="single" w:color="CBD5E1" w:sz="4"/>
            </w:tcBorders>
            <w:shd w:fill="F1F5F9" w:val="clear"/>
            <w:tcMar>
              <w:top w:type="dxa" w:w="100"/>
              <w:left w:type="dxa" w:w="140"/>
              <w:bottom w:type="dxa" w:w="100"/>
              <w:right w:type="dxa" w:w="140"/>
            </w:tcMar>
          </w:tcPr>
          <w:p>
            <w:r>
              <w:rPr>
                <w:b/>
                <w:bCs/>
                <w:sz w:val="20"/>
                <w:szCs w:val="20"/>
              </w:rPr>
              <w:t xml:space="preserve">Role</w:t>
            </w:r>
          </w:p>
        </w:tc>
        <w:tc>
          <w:tcPr>
            <w:tcW w:type="dxa" w:w="4032"/>
            <w:tcBorders>
              <w:top w:val="single" w:color="CBD5E1" w:sz="4"/>
              <w:left w:val="single" w:color="CBD5E1" w:sz="4"/>
              <w:bottom w:val="single" w:color="CBD5E1" w:sz="4"/>
              <w:right w:val="single" w:color="CBD5E1" w:sz="4"/>
            </w:tcBorders>
            <w:shd w:fill="F1F5F9" w:val="clear"/>
            <w:tcMar>
              <w:top w:type="dxa" w:w="100"/>
              <w:left w:type="dxa" w:w="140"/>
              <w:bottom w:type="dxa" w:w="100"/>
              <w:right w:type="dxa" w:w="140"/>
            </w:tcMar>
          </w:tcPr>
          <w:p>
            <w:r>
              <w:rPr>
                <w:b/>
                <w:bCs/>
                <w:sz w:val="20"/>
                <w:szCs w:val="20"/>
              </w:rPr>
              <w:t xml:space="preserve">Name</w:t>
            </w:r>
          </w:p>
        </w:tc>
        <w:tc>
          <w:tcPr>
            <w:tcW w:type="dxa" w:w="3024"/>
            <w:tcBorders>
              <w:top w:val="single" w:color="CBD5E1" w:sz="4"/>
              <w:left w:val="single" w:color="CBD5E1" w:sz="4"/>
              <w:bottom w:val="single" w:color="CBD5E1" w:sz="4"/>
              <w:right w:val="single" w:color="CBD5E1" w:sz="4"/>
            </w:tcBorders>
            <w:shd w:fill="F1F5F9" w:val="clear"/>
            <w:tcMar>
              <w:top w:type="dxa" w:w="100"/>
              <w:left w:type="dxa" w:w="140"/>
              <w:bottom w:type="dxa" w:w="100"/>
              <w:right w:type="dxa" w:w="140"/>
            </w:tcMar>
          </w:tcPr>
          <w:p>
            <w:r>
              <w:rPr>
                <w:b/>
                <w:bCs/>
                <w:sz w:val="20"/>
                <w:szCs w:val="20"/>
              </w:rPr>
              <w:t xml:space="preserve">Affiliation</w:t>
            </w:r>
          </w:p>
        </w:tc>
      </w:tr>
      <w:tr>
        <w:tc>
          <w:tcPr>
            <w:tcW w:type="dxa" w:w="3024"/>
            <w:tcBorders>
              <w:top w:val="single" w:color="CBD5E1" w:sz="4"/>
              <w:left w:val="single" w:color="CBD5E1" w:sz="4"/>
              <w:bottom w:val="single" w:color="CBD5E1" w:sz="4"/>
              <w:right w:val="single" w:color="CBD5E1" w:sz="4"/>
            </w:tcBorders>
            <w:tcMar>
              <w:top w:type="dxa" w:w="100"/>
              <w:left w:type="dxa" w:w="140"/>
              <w:bottom w:type="dxa" w:w="100"/>
              <w:right w:type="dxa" w:w="140"/>
            </w:tcMar>
          </w:tcPr>
          <w:p>
            <w:r>
              <w:rPr>
                <w:sz w:val="20"/>
                <w:szCs w:val="20"/>
              </w:rPr>
              <w:t xml:space="preserve">Principal Investigator</w:t>
            </w:r>
          </w:p>
        </w:tc>
        <w:tc>
          <w:tcPr>
            <w:tcW w:type="dxa" w:w="4032"/>
            <w:tcBorders>
              <w:top w:val="single" w:color="CBD5E1" w:sz="4"/>
              <w:left w:val="single" w:color="CBD5E1" w:sz="4"/>
              <w:bottom w:val="single" w:color="CBD5E1" w:sz="4"/>
              <w:right w:val="single" w:color="CBD5E1" w:sz="4"/>
            </w:tcBorders>
            <w:tcMar>
              <w:top w:type="dxa" w:w="100"/>
              <w:left w:type="dxa" w:w="140"/>
              <w:bottom w:type="dxa" w:w="100"/>
              <w:right w:type="dxa" w:w="140"/>
            </w:tcMar>
          </w:tcPr>
          <w:p>
            <w:r>
              <w:rPr>
                <w:sz w:val="20"/>
                <w:szCs w:val="20"/>
              </w:rPr>
              <w:t xml:space="preserve">[Insert name, PhD/MD]</w:t>
            </w:r>
          </w:p>
        </w:tc>
        <w:tc>
          <w:tcPr>
            <w:tcW w:type="dxa" w:w="3024"/>
            <w:tcBorders>
              <w:top w:val="single" w:color="CBD5E1" w:sz="4"/>
              <w:left w:val="single" w:color="CBD5E1" w:sz="4"/>
              <w:bottom w:val="single" w:color="CBD5E1" w:sz="4"/>
              <w:right w:val="single" w:color="CBD5E1" w:sz="4"/>
            </w:tcBorders>
            <w:tcMar>
              <w:top w:type="dxa" w:w="100"/>
              <w:left w:type="dxa" w:w="140"/>
              <w:bottom w:type="dxa" w:w="100"/>
              <w:right w:type="dxa" w:w="140"/>
            </w:tcMar>
          </w:tcPr>
          <w:p>
            <w:r>
              <w:rPr>
                <w:sz w:val="20"/>
                <w:szCs w:val="20"/>
              </w:rPr>
              <w:t xml:space="preserve">EEGBase, Inc.</w:t>
            </w:r>
          </w:p>
        </w:tc>
      </w:tr>
      <w:tr>
        <w:tc>
          <w:tcPr>
            <w:tcW w:type="dxa" w:w="3024"/>
            <w:tcBorders>
              <w:top w:val="single" w:color="CBD5E1" w:sz="4"/>
              <w:left w:val="single" w:color="CBD5E1" w:sz="4"/>
              <w:bottom w:val="single" w:color="CBD5E1" w:sz="4"/>
              <w:right w:val="single" w:color="CBD5E1" w:sz="4"/>
            </w:tcBorders>
            <w:tcMar>
              <w:top w:type="dxa" w:w="100"/>
              <w:left w:type="dxa" w:w="140"/>
              <w:bottom w:type="dxa" w:w="100"/>
              <w:right w:type="dxa" w:w="140"/>
            </w:tcMar>
          </w:tcPr>
          <w:p>
            <w:r>
              <w:rPr>
                <w:sz w:val="20"/>
                <w:szCs w:val="20"/>
              </w:rPr>
              <w:t xml:space="preserve">Co-Investigator (clinical)</w:t>
            </w:r>
          </w:p>
        </w:tc>
        <w:tc>
          <w:tcPr>
            <w:tcW w:type="dxa" w:w="4032"/>
            <w:tcBorders>
              <w:top w:val="single" w:color="CBD5E1" w:sz="4"/>
              <w:left w:val="single" w:color="CBD5E1" w:sz="4"/>
              <w:bottom w:val="single" w:color="CBD5E1" w:sz="4"/>
              <w:right w:val="single" w:color="CBD5E1" w:sz="4"/>
            </w:tcBorders>
            <w:tcMar>
              <w:top w:type="dxa" w:w="100"/>
              <w:left w:type="dxa" w:w="140"/>
              <w:bottom w:type="dxa" w:w="100"/>
              <w:right w:type="dxa" w:w="140"/>
            </w:tcMar>
          </w:tcPr>
          <w:p>
            <w:r>
              <w:rPr>
                <w:sz w:val="20"/>
                <w:szCs w:val="20"/>
              </w:rPr>
              <w:t xml:space="preserve">[Insert clinical advisor name, BCN]</w:t>
            </w:r>
          </w:p>
        </w:tc>
        <w:tc>
          <w:tcPr>
            <w:tcW w:type="dxa" w:w="3024"/>
            <w:tcBorders>
              <w:top w:val="single" w:color="CBD5E1" w:sz="4"/>
              <w:left w:val="single" w:color="CBD5E1" w:sz="4"/>
              <w:bottom w:val="single" w:color="CBD5E1" w:sz="4"/>
              <w:right w:val="single" w:color="CBD5E1" w:sz="4"/>
            </w:tcBorders>
            <w:tcMar>
              <w:top w:type="dxa" w:w="100"/>
              <w:left w:type="dxa" w:w="140"/>
              <w:bottom w:type="dxa" w:w="100"/>
              <w:right w:type="dxa" w:w="140"/>
            </w:tcMar>
          </w:tcPr>
          <w:p>
            <w:r>
              <w:rPr>
                <w:sz w:val="20"/>
                <w:szCs w:val="20"/>
              </w:rPr>
              <w:t xml:space="preserve">Cedar Valley NF (proposed)</w:t>
            </w:r>
          </w:p>
        </w:tc>
      </w:tr>
      <w:tr>
        <w:tc>
          <w:tcPr>
            <w:tcW w:type="dxa" w:w="3024"/>
            <w:tcBorders>
              <w:top w:val="single" w:color="CBD5E1" w:sz="4"/>
              <w:left w:val="single" w:color="CBD5E1" w:sz="4"/>
              <w:bottom w:val="single" w:color="CBD5E1" w:sz="4"/>
              <w:right w:val="single" w:color="CBD5E1" w:sz="4"/>
            </w:tcBorders>
            <w:tcMar>
              <w:top w:type="dxa" w:w="100"/>
              <w:left w:type="dxa" w:w="140"/>
              <w:bottom w:type="dxa" w:w="100"/>
              <w:right w:type="dxa" w:w="140"/>
            </w:tcMar>
          </w:tcPr>
          <w:p>
            <w:r>
              <w:rPr>
                <w:sz w:val="20"/>
                <w:szCs w:val="20"/>
              </w:rPr>
              <w:t xml:space="preserve">Co-Investigator (research)</w:t>
            </w:r>
          </w:p>
        </w:tc>
        <w:tc>
          <w:tcPr>
            <w:tcW w:type="dxa" w:w="4032"/>
            <w:tcBorders>
              <w:top w:val="single" w:color="CBD5E1" w:sz="4"/>
              <w:left w:val="single" w:color="CBD5E1" w:sz="4"/>
              <w:bottom w:val="single" w:color="CBD5E1" w:sz="4"/>
              <w:right w:val="single" w:color="CBD5E1" w:sz="4"/>
            </w:tcBorders>
            <w:tcMar>
              <w:top w:type="dxa" w:w="100"/>
              <w:left w:type="dxa" w:w="140"/>
              <w:bottom w:type="dxa" w:w="100"/>
              <w:right w:type="dxa" w:w="140"/>
            </w:tcMar>
          </w:tcPr>
          <w:p>
            <w:r>
              <w:rPr>
                <w:sz w:val="20"/>
                <w:szCs w:val="20"/>
              </w:rPr>
              <w:t xml:space="preserve">[Insert research advisor name, PhD]</w:t>
            </w:r>
          </w:p>
        </w:tc>
        <w:tc>
          <w:tcPr>
            <w:tcW w:type="dxa" w:w="3024"/>
            <w:tcBorders>
              <w:top w:val="single" w:color="CBD5E1" w:sz="4"/>
              <w:left w:val="single" w:color="CBD5E1" w:sz="4"/>
              <w:bottom w:val="single" w:color="CBD5E1" w:sz="4"/>
              <w:right w:val="single" w:color="CBD5E1" w:sz="4"/>
            </w:tcBorders>
            <w:tcMar>
              <w:top w:type="dxa" w:w="100"/>
              <w:left w:type="dxa" w:w="140"/>
              <w:bottom w:type="dxa" w:w="100"/>
              <w:right w:type="dxa" w:w="140"/>
            </w:tcMar>
          </w:tcPr>
          <w:p>
            <w:r>
              <w:rPr>
                <w:sz w:val="20"/>
                <w:szCs w:val="20"/>
              </w:rPr>
              <w:t xml:space="preserve">[Insert academic affiliation]</w:t>
            </w:r>
          </w:p>
        </w:tc>
      </w:tr>
      <w:tr>
        <w:tc>
          <w:tcPr>
            <w:tcW w:type="dxa" w:w="3024"/>
            <w:tcBorders>
              <w:top w:val="single" w:color="CBD5E1" w:sz="4"/>
              <w:left w:val="single" w:color="CBD5E1" w:sz="4"/>
              <w:bottom w:val="single" w:color="CBD5E1" w:sz="4"/>
              <w:right w:val="single" w:color="CBD5E1" w:sz="4"/>
            </w:tcBorders>
            <w:tcMar>
              <w:top w:type="dxa" w:w="100"/>
              <w:left w:type="dxa" w:w="140"/>
              <w:bottom w:type="dxa" w:w="100"/>
              <w:right w:type="dxa" w:w="140"/>
            </w:tcMar>
          </w:tcPr>
          <w:p>
            <w:r>
              <w:rPr>
                <w:sz w:val="20"/>
                <w:szCs w:val="20"/>
              </w:rPr>
              <w:t xml:space="preserve">Mendi science team rep</w:t>
            </w:r>
          </w:p>
        </w:tc>
        <w:tc>
          <w:tcPr>
            <w:tcW w:type="dxa" w:w="4032"/>
            <w:tcBorders>
              <w:top w:val="single" w:color="CBD5E1" w:sz="4"/>
              <w:left w:val="single" w:color="CBD5E1" w:sz="4"/>
              <w:bottom w:val="single" w:color="CBD5E1" w:sz="4"/>
              <w:right w:val="single" w:color="CBD5E1" w:sz="4"/>
            </w:tcBorders>
            <w:tcMar>
              <w:top w:type="dxa" w:w="100"/>
              <w:left w:type="dxa" w:w="140"/>
              <w:bottom w:type="dxa" w:w="100"/>
              <w:right w:type="dxa" w:w="140"/>
            </w:tcMar>
          </w:tcPr>
          <w:p>
            <w:r>
              <w:rPr>
                <w:sz w:val="20"/>
                <w:szCs w:val="20"/>
              </w:rPr>
              <w:t xml:space="preserve">[Mendi designate]</w:t>
            </w:r>
          </w:p>
        </w:tc>
        <w:tc>
          <w:tcPr>
            <w:tcW w:type="dxa" w:w="3024"/>
            <w:tcBorders>
              <w:top w:val="single" w:color="CBD5E1" w:sz="4"/>
              <w:left w:val="single" w:color="CBD5E1" w:sz="4"/>
              <w:bottom w:val="single" w:color="CBD5E1" w:sz="4"/>
              <w:right w:val="single" w:color="CBD5E1" w:sz="4"/>
            </w:tcBorders>
            <w:tcMar>
              <w:top w:type="dxa" w:w="100"/>
              <w:left w:type="dxa" w:w="140"/>
              <w:bottom w:type="dxa" w:w="100"/>
              <w:right w:type="dxa" w:w="140"/>
            </w:tcMar>
          </w:tcPr>
          <w:p>
            <w:r>
              <w:rPr>
                <w:sz w:val="20"/>
                <w:szCs w:val="20"/>
              </w:rPr>
              <w:t xml:space="preserve">Mendi (proposed)</w:t>
            </w:r>
          </w:p>
        </w:tc>
      </w:tr>
      <w:tr>
        <w:tc>
          <w:tcPr>
            <w:tcW w:type="dxa" w:w="3024"/>
            <w:tcBorders>
              <w:top w:val="single" w:color="CBD5E1" w:sz="4"/>
              <w:left w:val="single" w:color="CBD5E1" w:sz="4"/>
              <w:bottom w:val="single" w:color="CBD5E1" w:sz="4"/>
              <w:right w:val="single" w:color="CBD5E1" w:sz="4"/>
            </w:tcBorders>
            <w:tcMar>
              <w:top w:type="dxa" w:w="100"/>
              <w:left w:type="dxa" w:w="140"/>
              <w:bottom w:type="dxa" w:w="100"/>
              <w:right w:type="dxa" w:w="140"/>
            </w:tcMar>
          </w:tcPr>
          <w:p>
            <w:r>
              <w:rPr>
                <w:sz w:val="20"/>
                <w:szCs w:val="20"/>
              </w:rPr>
              <w:t xml:space="preserve">DPO / Compliance counsel</w:t>
            </w:r>
          </w:p>
        </w:tc>
        <w:tc>
          <w:tcPr>
            <w:tcW w:type="dxa" w:w="4032"/>
            <w:tcBorders>
              <w:top w:val="single" w:color="CBD5E1" w:sz="4"/>
              <w:left w:val="single" w:color="CBD5E1" w:sz="4"/>
              <w:bottom w:val="single" w:color="CBD5E1" w:sz="4"/>
              <w:right w:val="single" w:color="CBD5E1" w:sz="4"/>
            </w:tcBorders>
            <w:tcMar>
              <w:top w:type="dxa" w:w="100"/>
              <w:left w:type="dxa" w:w="140"/>
              <w:bottom w:type="dxa" w:w="100"/>
              <w:right w:type="dxa" w:w="140"/>
            </w:tcMar>
          </w:tcPr>
          <w:p>
            <w:r>
              <w:rPr>
                <w:sz w:val="20"/>
                <w:szCs w:val="20"/>
              </w:rPr>
              <w:t xml:space="preserve">[Insert DPO name]</w:t>
            </w:r>
          </w:p>
        </w:tc>
        <w:tc>
          <w:tcPr>
            <w:tcW w:type="dxa" w:w="3024"/>
            <w:tcBorders>
              <w:top w:val="single" w:color="CBD5E1" w:sz="4"/>
              <w:left w:val="single" w:color="CBD5E1" w:sz="4"/>
              <w:bottom w:val="single" w:color="CBD5E1" w:sz="4"/>
              <w:right w:val="single" w:color="CBD5E1" w:sz="4"/>
            </w:tcBorders>
            <w:tcMar>
              <w:top w:type="dxa" w:w="100"/>
              <w:left w:type="dxa" w:w="140"/>
              <w:bottom w:type="dxa" w:w="100"/>
              <w:right w:type="dxa" w:w="140"/>
            </w:tcMar>
          </w:tcPr>
          <w:p>
            <w:r>
              <w:rPr>
                <w:sz w:val="20"/>
                <w:szCs w:val="20"/>
              </w:rPr>
              <w:t xml:space="preserve">EEGBase, Inc.</w:t>
            </w:r>
          </w:p>
        </w:tc>
      </w:tr>
    </w:tbl>
    <w:p>
      <w:pPr>
        <w:pStyle w:val="Heading1"/>
        <w:spacing w:after="180" w:before="360"/>
      </w:pPr>
      <w:r>
        <w:rPr>
          <w:b/>
          <w:bCs/>
          <w:color w:val="0F172A"/>
          <w:sz w:val="32"/>
          <w:szCs w:val="32"/>
        </w:rPr>
        <w:t xml:space="preserve">10 · Conflicts of Interest</w:t>
      </w:r>
    </w:p>
    <w:p>
      <w:pPr>
        <w:spacing w:after="100" w:before="0"/>
      </w:pPr>
      <w:r>
        <w:rPr>
          <w:sz w:val="22"/>
          <w:szCs w:val="22"/>
        </w:rPr>
        <w:t xml:space="preserve">EEGBase, Inc. is a commercial company that operates the platform on which the registry runs. Mendi (proposed co-sponsor) is the manufacturer of the hardware studied. These conflicts are disclosed to the IRB, to participants in the consent form, and in any resulting publication. The DSMB membership is independent of both companies.</w:t>
      </w:r>
    </w:p>
    <w:p>
      <w:pPr>
        <w:pStyle w:val="Heading1"/>
        <w:spacing w:after="180" w:before="360"/>
      </w:pPr>
      <w:r>
        <w:rPr>
          <w:b/>
          <w:bCs/>
          <w:color w:val="0F172A"/>
          <w:sz w:val="32"/>
          <w:szCs w:val="32"/>
        </w:rPr>
        <w:t xml:space="preserve">11 · Timeline</w:t>
      </w:r>
    </w:p>
    <w:p>
      <w:pPr>
        <w:pStyle w:val="ListParagraph"/>
        <w:numPr>
          <w:ilvl w:val="0"/>
          <w:numId w:val="2"/>
        </w:numPr>
        <w:spacing w:after="80"/>
      </w:pPr>
      <w:r>
        <w:rPr>
          <w:sz w:val="22"/>
          <w:szCs w:val="22"/>
        </w:rPr>
        <w:t xml:space="preserve">Q3 2026 — IRB submission, site recruitment, registry build-out</w:t>
      </w:r>
    </w:p>
    <w:p>
      <w:pPr>
        <w:pStyle w:val="ListParagraph"/>
        <w:numPr>
          <w:ilvl w:val="0"/>
          <w:numId w:val="2"/>
        </w:numPr>
        <w:spacing w:after="80"/>
      </w:pPr>
      <w:r>
        <w:rPr>
          <w:sz w:val="22"/>
          <w:szCs w:val="22"/>
        </w:rPr>
        <w:t xml:space="preserve">Q4 2026 — Enrollment starts (target 200 sites enrolled, 800 participants)</w:t>
      </w:r>
    </w:p>
    <w:p>
      <w:pPr>
        <w:pStyle w:val="ListParagraph"/>
        <w:numPr>
          <w:ilvl w:val="0"/>
          <w:numId w:val="2"/>
        </w:numPr>
        <w:spacing w:after="80"/>
      </w:pPr>
      <w:r>
        <w:rPr>
          <w:sz w:val="22"/>
          <w:szCs w:val="22"/>
        </w:rPr>
        <w:t xml:space="preserve">Q1 2027 — Mid-registry interim analysis and DSMB review</w:t>
      </w:r>
    </w:p>
    <w:p>
      <w:pPr>
        <w:pStyle w:val="ListParagraph"/>
        <w:numPr>
          <w:ilvl w:val="0"/>
          <w:numId w:val="2"/>
        </w:numPr>
        <w:spacing w:after="80"/>
      </w:pPr>
      <w:r>
        <w:rPr>
          <w:sz w:val="22"/>
          <w:szCs w:val="22"/>
        </w:rPr>
        <w:t xml:space="preserve">Q2 2027 — Full target enrollment (n = 2,840)</w:t>
      </w:r>
    </w:p>
    <w:p>
      <w:pPr>
        <w:pStyle w:val="ListParagraph"/>
        <w:numPr>
          <w:ilvl w:val="0"/>
          <w:numId w:val="2"/>
        </w:numPr>
        <w:spacing w:after="80"/>
      </w:pPr>
      <w:r>
        <w:rPr>
          <w:sz w:val="22"/>
          <w:szCs w:val="22"/>
        </w:rPr>
        <w:t xml:space="preserve">Q3 2027 — 20-session follow-up complete on cohort 1</w:t>
      </w:r>
    </w:p>
    <w:p>
      <w:pPr>
        <w:pStyle w:val="ListParagraph"/>
        <w:numPr>
          <w:ilvl w:val="0"/>
          <w:numId w:val="2"/>
        </w:numPr>
        <w:spacing w:after="80"/>
      </w:pPr>
      <w:r>
        <w:rPr>
          <w:sz w:val="22"/>
          <w:szCs w:val="22"/>
        </w:rPr>
        <w:t xml:space="preserve">Q4 2027 — Primary analysis + Frontiers in Human Neuroscience submission</w:t>
      </w:r>
    </w:p>
    <w:p>
      <w:pPr>
        <w:pStyle w:val="Heading1"/>
        <w:spacing w:after="180" w:before="360"/>
      </w:pPr>
      <w:r>
        <w:rPr>
          <w:b/>
          <w:bCs/>
          <w:color w:val="0F172A"/>
          <w:sz w:val="32"/>
          <w:szCs w:val="32"/>
        </w:rPr>
        <w:t xml:space="preserve">12 · Appendices (referenced separately)</w:t>
      </w:r>
    </w:p>
    <w:p>
      <w:pPr>
        <w:pStyle w:val="ListParagraph"/>
        <w:numPr>
          <w:ilvl w:val="0"/>
          <w:numId w:val="2"/>
        </w:numPr>
        <w:spacing w:after="80"/>
      </w:pPr>
      <w:r>
        <w:rPr>
          <w:sz w:val="22"/>
          <w:szCs w:val="22"/>
        </w:rPr>
        <w:t xml:space="preserve">Appendix A — Sample BIDS-fNIRS sidecar (sub-021_ses-08_task-focus_nirs.json)</w:t>
      </w:r>
    </w:p>
    <w:p>
      <w:pPr>
        <w:pStyle w:val="ListParagraph"/>
        <w:numPr>
          <w:ilvl w:val="0"/>
          <w:numId w:val="2"/>
        </w:numPr>
        <w:spacing w:after="80"/>
      </w:pPr>
      <w:r>
        <w:rPr>
          <w:sz w:val="22"/>
          <w:szCs w:val="22"/>
        </w:rPr>
        <w:t xml:space="preserve">Appendix B — Parent/Guardian consent form (8th-grade reading level)</w:t>
      </w:r>
    </w:p>
    <w:p>
      <w:pPr>
        <w:pStyle w:val="ListParagraph"/>
        <w:numPr>
          <w:ilvl w:val="0"/>
          <w:numId w:val="2"/>
        </w:numPr>
        <w:spacing w:after="80"/>
      </w:pPr>
      <w:r>
        <w:rPr>
          <w:sz w:val="22"/>
          <w:szCs w:val="22"/>
        </w:rPr>
        <w:t xml:space="preserve">Appendix C — Adolescent assent form</w:t>
      </w:r>
    </w:p>
    <w:p>
      <w:pPr>
        <w:pStyle w:val="ListParagraph"/>
        <w:numPr>
          <w:ilvl w:val="0"/>
          <w:numId w:val="2"/>
        </w:numPr>
        <w:spacing w:after="80"/>
      </w:pPr>
      <w:r>
        <w:rPr>
          <w:sz w:val="22"/>
          <w:szCs w:val="22"/>
        </w:rPr>
        <w:t xml:space="preserve">Appendix D — Data Use Agreement (EEGBase ↔ Mendi ↔ Site)</w:t>
      </w:r>
    </w:p>
    <w:p>
      <w:pPr>
        <w:pStyle w:val="ListParagraph"/>
        <w:numPr>
          <w:ilvl w:val="0"/>
          <w:numId w:val="2"/>
        </w:numPr>
        <w:spacing w:after="80"/>
      </w:pPr>
      <w:r>
        <w:rPr>
          <w:sz w:val="22"/>
          <w:szCs w:val="22"/>
        </w:rPr>
        <w:t xml:space="preserve">Appendix E — DSMB charter + quarterly review template</w:t>
      </w:r>
    </w:p>
    <w:p>
      <w:pPr>
        <w:pStyle w:val="ListParagraph"/>
        <w:numPr>
          <w:ilvl w:val="0"/>
          <w:numId w:val="2"/>
        </w:numPr>
        <w:spacing w:after="80"/>
      </w:pPr>
      <w:r>
        <w:rPr>
          <w:sz w:val="22"/>
          <w:szCs w:val="22"/>
        </w:rPr>
        <w:t xml:space="preserve">Appendix F — Recruitment materials (clinic + family-facing)</w:t>
      </w:r>
    </w:p>
    <w:p>
      <w:pPr>
        <w:pStyle w:val="ListParagraph"/>
        <w:numPr>
          <w:ilvl w:val="0"/>
          <w:numId w:val="2"/>
        </w:numPr>
        <w:spacing w:after="80"/>
      </w:pPr>
      <w:r>
        <w:rPr>
          <w:sz w:val="22"/>
          <w:szCs w:val="22"/>
        </w:rPr>
        <w:t xml:space="preserve">Appendix G — Data safety + breach response runbook</w:t>
      </w:r>
    </w:p>
    <w:p>
      <w:pPr>
        <w:spacing w:after="120" w:before="480"/>
      </w:pPr>
      <w:r>
        <w:rPr>
          <w:color w:val="64748B"/>
        </w:rPr>
        <w:t xml:space="preserve">—</w:t>
      </w:r>
    </w:p>
    <w:p>
      <w:r>
        <w:rPr>
          <w:b/>
          <w:bCs/>
          <w:color w:val="0F172A"/>
          <w:sz w:val="20"/>
          <w:szCs w:val="20"/>
        </w:rPr>
        <w:t xml:space="preserve">Sample IRB packet for the EEGBase × Mendi partnership pitch. </w:t>
      </w:r>
      <w:r>
        <w:rPr>
          <w:color w:val="64748B"/>
          <w:sz w:val="20"/>
          <w:szCs w:val="20"/>
        </w:rPr>
        <w:t xml:space="preserve">Replace bracketed placeholders with real personnel before submitting to your IRB of record. The intellectual content is provided as-is and reflects EEGBase's recommended structure based on common neurofeedback registry IRB approvals (BCIA, ISNR, AAPB-style review boards).</w:t>
      </w:r>
    </w:p>
    <w:p>
      <w:pPr>
        <w:spacing w:before="240"/>
      </w:pPr>
      <w:r>
        <w:rPr>
          <w:color w:val="64748B"/>
          <w:sz w:val="20"/>
          <w:szCs w:val="20"/>
        </w:rPr>
        <w:t xml:space="preserve">Contact: </w:t>
      </w:r>
      <w:r>
        <w:rPr>
          <w:b/>
          <w:bCs/>
          <w:sz w:val="20"/>
          <w:szCs w:val="20"/>
        </w:rPr>
        <w:t xml:space="preserve">research@eegbase.com  ·  </w:t>
      </w:r>
      <w:r>
        <w:rPr>
          <w:color w:val="64748B"/>
          <w:sz w:val="20"/>
          <w:szCs w:val="20"/>
        </w:rPr>
        <w:t xml:space="preserve">github.com/jpiscool/eegbase  ·  </w:t>
      </w:r>
      <w:r>
        <w:rPr>
          <w:color w:val="64748B"/>
          <w:sz w:val="20"/>
          <w:szCs w:val="20"/>
        </w:rPr>
        <w:t xml:space="preserve">eegbase.vercel.app/mendi</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pPr>
    <w:r>
      <w:rPr>
        <w:color w:val="64748B"/>
        <w:sz w:val="16"/>
        <w:szCs w:val="16"/>
      </w:rPr>
      <w:t xml:space="preserve">Confidential · NDA-gated · </w:t>
    </w:r>
    <w:r>
      <w:rPr>
        <w:color w:val="64748B"/>
        <w:sz w:val="16"/>
        <w:szCs w:val="16"/>
      </w:rPr>
      <w:t xml:space="preserve">Page </w:t>
    </w:r>
    <w:r>
      <w:rPr>
        <w:color w:val="64748B"/>
        <w:sz w:val="16"/>
        <w:szCs w:val="16"/>
      </w:rPr>
      <w:fldChar w:fldCharType="begin"/>
      <w:instrText xml:space="preserve">PAGE</w:instrText>
      <w:fldChar w:fldCharType="separate"/>
      <w:fldChar w:fldCharType="end"/>
    </w:r>
    <w:r>
      <w:rPr>
        <w:color w:val="64748B"/>
        <w:sz w:val="16"/>
        <w:szCs w:val="16"/>
      </w:rPr>
      <w:t xml:space="preserve"> of </w:t>
    </w:r>
    <w:r>
      <w:rPr>
        <w:color w:val="64748B"/>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pPr>
    <w:r>
      <w:rPr>
        <w:b/>
        <w:bCs/>
        <w:color w:val="0F172A"/>
        <w:sz w:val="18"/>
        <w:szCs w:val="18"/>
      </w:rPr>
      <w:t xml:space="preserve">EEGBase × Mendi</w:t>
    </w:r>
    <w:r>
      <w:rPr>
        <w:color w:val="64748B"/>
        <w:sz w:val="18"/>
        <w:szCs w:val="18"/>
      </w:rPr>
      <w:t xml:space="preserve">  ·  IRB Application Packet (sample)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0F172A"/>
      <w:sz w:val="32"/>
      <w:szCs w:val="32"/>
    </w:rPr>
  </w:style>
  <w:style w:type="paragraph" w:styleId="Heading2">
    <w:name w:val="Heading 2"/>
    <w:basedOn w:val="Normal"/>
    <w:next w:val="Normal"/>
    <w:qFormat/>
    <w:pPr>
      <w:spacing w:after="120" w:before="240"/>
      <w:outlineLvl w:val="1"/>
    </w:pPr>
    <w:rPr>
      <w:rFonts w:ascii="Calibri" w:cs="Calibri" w:eastAsia="Calibri" w:hAnsi="Calibri"/>
      <w:b/>
      <w:bCs/>
      <w:color w:val="0F172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EEGBase × Mendi IRB Application Packet (Sample)</dc:title>
  <dc:creator>EEGBase</dc:creator>
  <dc:description>Sample IRB packet for the proposed multi-clinic registry of fNIRS neurofeedback in adolescent ADHD</dc:description>
  <cp:lastModifiedBy>Un-named</cp:lastModifiedBy>
  <cp:revision>1</cp:revision>
  <dcterms:created xsi:type="dcterms:W3CDTF">2026-05-08T04:04:28.593Z</dcterms:created>
  <dcterms:modified xsi:type="dcterms:W3CDTF">2026-05-08T04:04:28.593Z</dcterms:modified>
</cp:coreProperties>
</file>

<file path=docProps/custom.xml><?xml version="1.0" encoding="utf-8"?>
<Properties xmlns="http://schemas.openxmlformats.org/officeDocument/2006/custom-properties" xmlns:vt="http://schemas.openxmlformats.org/officeDocument/2006/docPropsVTypes"/>
</file>